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EFFDBEF" w14:textId="77777777" w:rsidR="003455AE" w:rsidRPr="00B750D0" w:rsidRDefault="003455AE" w:rsidP="003455AE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28A52044" w14:textId="77777777" w:rsidR="003455AE" w:rsidRDefault="003455AE" w:rsidP="003455A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61D38C45" w14:textId="77777777" w:rsidR="003455AE" w:rsidRDefault="003455AE" w:rsidP="003455A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BB91C6B" w14:textId="77777777" w:rsidR="003455AE" w:rsidRDefault="003455AE" w:rsidP="003455AE">
      <w:pPr>
        <w:pStyle w:val="Odlomakpopisa"/>
        <w:numPr>
          <w:ilvl w:val="0"/>
          <w:numId w:val="32"/>
        </w:numPr>
        <w:spacing w:after="0" w:line="240" w:lineRule="auto"/>
        <w:jc w:val="center"/>
        <w:rPr>
          <w:rFonts w:cstheme="minorHAnsi"/>
          <w:b/>
          <w:sz w:val="32"/>
        </w:rPr>
      </w:pPr>
      <w:r w:rsidRPr="00C82D15">
        <w:rPr>
          <w:rFonts w:cstheme="minorHAnsi"/>
          <w:b/>
          <w:sz w:val="32"/>
        </w:rPr>
        <w:t>razred osnovne škole</w:t>
      </w:r>
    </w:p>
    <w:p w14:paraId="5783F72E" w14:textId="77777777" w:rsidR="003455AE" w:rsidRPr="00C82D15" w:rsidRDefault="003455AE" w:rsidP="003455AE">
      <w:pPr>
        <w:pStyle w:val="Odlomakpopisa"/>
        <w:spacing w:after="0" w:line="240" w:lineRule="auto"/>
        <w:rPr>
          <w:rFonts w:cstheme="minorHAnsi"/>
          <w:b/>
          <w:sz w:val="32"/>
        </w:rPr>
      </w:pPr>
    </w:p>
    <w:p w14:paraId="7CAE9665" w14:textId="77777777" w:rsidR="003455AE" w:rsidRPr="00C82D15" w:rsidRDefault="003455AE" w:rsidP="003455A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Češka osnovna škola Josipa Ružičke Končanica</w:t>
      </w:r>
    </w:p>
    <w:p w14:paraId="50CC961A" w14:textId="77777777" w:rsidR="003455AE" w:rsidRPr="00C82D15" w:rsidRDefault="003455AE" w:rsidP="003455A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proofErr w:type="spellStart"/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Česká</w:t>
      </w:r>
      <w:proofErr w:type="spellEnd"/>
      <w:r w:rsidRPr="00C82D15">
        <w:rPr>
          <w:rFonts w:asciiTheme="minorHAnsi" w:hAnsiTheme="minorHAnsi" w:cstheme="minorHAnsi"/>
          <w:b/>
          <w:bCs/>
          <w:sz w:val="32"/>
          <w:szCs w:val="32"/>
        </w:rPr>
        <w:t xml:space="preserve"> základní škola Josefa </w:t>
      </w:r>
      <w:proofErr w:type="spellStart"/>
      <w:r w:rsidRPr="00C82D15">
        <w:rPr>
          <w:rFonts w:asciiTheme="minorHAnsi" w:hAnsiTheme="minorHAnsi" w:cstheme="minorHAnsi"/>
          <w:b/>
          <w:bCs/>
          <w:sz w:val="32"/>
          <w:szCs w:val="32"/>
        </w:rPr>
        <w:t>Růžičky</w:t>
      </w:r>
      <w:proofErr w:type="spellEnd"/>
      <w:r w:rsidRPr="00C82D1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C82D15">
        <w:rPr>
          <w:rFonts w:asciiTheme="minorHAnsi" w:hAnsiTheme="minorHAnsi" w:cstheme="minorHAnsi"/>
          <w:b/>
          <w:bCs/>
          <w:sz w:val="32"/>
          <w:szCs w:val="32"/>
        </w:rPr>
        <w:t>Končenice</w:t>
      </w:r>
      <w:proofErr w:type="spellEnd"/>
    </w:p>
    <w:p w14:paraId="53A7558F" w14:textId="77777777" w:rsidR="003455AE" w:rsidRPr="00C82D15" w:rsidRDefault="003455AE" w:rsidP="003455A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PŠ </w:t>
      </w:r>
      <w:proofErr w:type="spellStart"/>
      <w:r w:rsidRPr="00C82D15">
        <w:rPr>
          <w:rFonts w:asciiTheme="minorHAnsi" w:hAnsiTheme="minorHAnsi" w:cstheme="minorHAnsi"/>
          <w:b/>
          <w:bCs/>
          <w:sz w:val="32"/>
          <w:szCs w:val="32"/>
        </w:rPr>
        <w:t>Dioš</w:t>
      </w:r>
      <w:proofErr w:type="spellEnd"/>
    </w:p>
    <w:p w14:paraId="558A414A" w14:textId="77777777" w:rsidR="003455AE" w:rsidRPr="00C82D15" w:rsidRDefault="003455AE" w:rsidP="003455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Š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kolska godina 202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4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./202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5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.</w:t>
      </w:r>
    </w:p>
    <w:p w14:paraId="33F794C4" w14:textId="77777777" w:rsidR="003455AE" w:rsidRPr="00C82D15" w:rsidRDefault="003455AE" w:rsidP="003455A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 xml:space="preserve">Razredna 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učiteljica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: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Alenka Sižinek</w:t>
      </w:r>
    </w:p>
    <w:p w14:paraId="3C12F7B9" w14:textId="77777777" w:rsidR="003455AE" w:rsidRDefault="003455AE" w:rsidP="003455AE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67C7474" w14:textId="77777777" w:rsidR="003455AE" w:rsidRPr="003455AE" w:rsidRDefault="003455AE" w:rsidP="003455AE">
      <w:pPr>
        <w:pStyle w:val="Odlomakpopisa"/>
        <w:spacing w:after="0" w:line="240" w:lineRule="auto"/>
        <w:rPr>
          <w:rFonts w:cstheme="minorHAnsi"/>
          <w:b/>
          <w:sz w:val="32"/>
        </w:rPr>
      </w:pP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81A9526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7ED88B5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467C108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B65441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6F32889" w14:textId="77777777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966F05B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1D1F8BB5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E3F5E84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019DDE5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B628244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4D2C5001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06266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EFB464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8C41956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460CE8A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8457A5F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1C748174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osnovu slušanja glazbe i aktivnog muziciranja prepoznaje </w:t>
            </w: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Glazbene primjere sluša uz česta skretanja pozornosti na sadržaje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Slušanjem glazbenih primjera samostalno prepoznaje različite uloge glazbe. </w:t>
            </w: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sectPr w:rsidR="007A4C51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34F0" w14:textId="77777777" w:rsidR="00C81DBA" w:rsidRDefault="00C81DBA" w:rsidP="00394D17">
      <w:pPr>
        <w:spacing w:after="0" w:line="240" w:lineRule="auto"/>
      </w:pPr>
      <w:r>
        <w:separator/>
      </w:r>
    </w:p>
  </w:endnote>
  <w:endnote w:type="continuationSeparator" w:id="0">
    <w:p w14:paraId="4D14A878" w14:textId="77777777" w:rsidR="00C81DBA" w:rsidRDefault="00C81DBA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806E" w14:textId="77777777" w:rsidR="00C81DBA" w:rsidRDefault="00C81DBA" w:rsidP="00394D17">
      <w:pPr>
        <w:spacing w:after="0" w:line="240" w:lineRule="auto"/>
      </w:pPr>
      <w:r>
        <w:separator/>
      </w:r>
    </w:p>
  </w:footnote>
  <w:footnote w:type="continuationSeparator" w:id="0">
    <w:p w14:paraId="2E278FD1" w14:textId="77777777" w:rsidR="00C81DBA" w:rsidRDefault="00C81DBA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6142B78"/>
    <w:multiLevelType w:val="hybridMultilevel"/>
    <w:tmpl w:val="8A846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0215B"/>
    <w:multiLevelType w:val="hybridMultilevel"/>
    <w:tmpl w:val="911EA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15"/>
  </w:num>
  <w:num w:numId="5">
    <w:abstractNumId w:val="17"/>
  </w:num>
  <w:num w:numId="6">
    <w:abstractNumId w:val="12"/>
  </w:num>
  <w:num w:numId="7">
    <w:abstractNumId w:val="21"/>
  </w:num>
  <w:num w:numId="8">
    <w:abstractNumId w:val="11"/>
  </w:num>
  <w:num w:numId="9">
    <w:abstractNumId w:val="31"/>
  </w:num>
  <w:num w:numId="10">
    <w:abstractNumId w:val="28"/>
  </w:num>
  <w:num w:numId="11">
    <w:abstractNumId w:val="23"/>
  </w:num>
  <w:num w:numId="12">
    <w:abstractNumId w:val="29"/>
  </w:num>
  <w:num w:numId="13">
    <w:abstractNumId w:val="20"/>
  </w:num>
  <w:num w:numId="14">
    <w:abstractNumId w:val="16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9"/>
  </w:num>
  <w:num w:numId="20">
    <w:abstractNumId w:val="5"/>
  </w:num>
  <w:num w:numId="21">
    <w:abstractNumId w:val="26"/>
  </w:num>
  <w:num w:numId="22">
    <w:abstractNumId w:val="30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  <w:num w:numId="27">
    <w:abstractNumId w:val="2"/>
  </w:num>
  <w:num w:numId="28">
    <w:abstractNumId w:val="3"/>
  </w:num>
  <w:num w:numId="29">
    <w:abstractNumId w:val="18"/>
  </w:num>
  <w:num w:numId="30">
    <w:abstractNumId w:val="25"/>
  </w:num>
  <w:num w:numId="31">
    <w:abstractNumId w:val="7"/>
  </w:num>
  <w:num w:numId="32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C665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455AE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16020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81DBA"/>
    <w:rsid w:val="00C82D15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8AD06-3ADB-4C8A-84E7-DAA4A5349C53}"/>
</file>

<file path=customXml/itemProps3.xml><?xml version="1.0" encoding="utf-8"?>
<ds:datastoreItem xmlns:ds="http://schemas.openxmlformats.org/officeDocument/2006/customXml" ds:itemID="{1B2A738D-C555-4A68-A843-2F3DEC9BE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alenka sizinek</cp:lastModifiedBy>
  <cp:revision>45</cp:revision>
  <cp:lastPrinted>2019-08-28T17:14:00Z</cp:lastPrinted>
  <dcterms:created xsi:type="dcterms:W3CDTF">2019-08-28T16:31:00Z</dcterms:created>
  <dcterms:modified xsi:type="dcterms:W3CDTF">2024-09-29T07:56:00Z</dcterms:modified>
</cp:coreProperties>
</file>